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103DC9">
        <w:rPr>
          <w:rFonts w:ascii="Times New Roman" w:hAnsi="Times New Roman" w:cs="Times New Roman"/>
          <w:i/>
          <w:szCs w:val="24"/>
        </w:rPr>
        <w:t>iach č. 71</w:t>
      </w:r>
      <w:r w:rsidRPr="00C756C2">
        <w:rPr>
          <w:rFonts w:ascii="Times New Roman" w:hAnsi="Times New Roman" w:cs="Times New Roman"/>
          <w:i/>
          <w:szCs w:val="24"/>
        </w:rPr>
        <w:t>/2017 zo dňa 25.10.2017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9A662F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je nehnuteľný majetok –</w:t>
      </w:r>
      <w:r w:rsidR="002F1590" w:rsidRPr="00C756C2">
        <w:rPr>
          <w:rFonts w:ascii="Times New Roman" w:hAnsi="Times New Roman" w:cs="Times New Roman"/>
          <w:i/>
          <w:szCs w:val="24"/>
        </w:rPr>
        <w:t xml:space="preserve">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pozem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o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k </w:t>
      </w:r>
      <w:r w:rsidR="00E24F23">
        <w:rPr>
          <w:rFonts w:ascii="Times New Roman" w:hAnsi="Times New Roman" w:cs="Times New Roman"/>
          <w:i/>
          <w:szCs w:val="24"/>
          <w:lang w:eastAsia="sk-SK"/>
        </w:rPr>
        <w:t xml:space="preserve">reg. C, par. čísla 93/3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o výmere 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36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 Šúrovce, k. ú. Varov Šúr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okres Trnava, vedeného na LV č. 300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 xml:space="preserve">,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d</w:t>
      </w:r>
      <w:r w:rsidR="00B039E5">
        <w:rPr>
          <w:rFonts w:ascii="Times New Roman" w:hAnsi="Times New Roman" w:cs="Times New Roman"/>
          <w:i/>
          <w:szCs w:val="24"/>
          <w:lang w:eastAsia="sk-SK"/>
        </w:rPr>
        <w:t>ruh – zastava</w:t>
      </w:r>
      <w:bookmarkStart w:id="0" w:name="_GoBack"/>
      <w:bookmarkEnd w:id="0"/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né plochy a nádvoria,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do vlastníctva 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Hugo Reality s. r. o., M. R. Štefánika 4, Žiar nad Hronom.</w:t>
      </w:r>
    </w:p>
    <w:p w:rsidR="00D76BC8" w:rsidRDefault="00103DC9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 xml:space="preserve">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Kúpna cena za predmet prevodu bola stanovená Uznesením Obecného zastupiteľstva v Šúrovciach č. 7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1/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2017 zo dňa 25.10.2017 vo výške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25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Eur/m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 xml:space="preserve">na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pozem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ku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, ktorý Obec Šúrovce dlhodobo nevyužíva, 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je 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postavená garáž, ktorá je súčasťou rodinného domu, ktorý je vo vlastníctve kupujúceho, zapísaného na LV č.</w:t>
      </w:r>
      <w:r w:rsidR="00B039E5">
        <w:rPr>
          <w:rFonts w:ascii="Times New Roman" w:hAnsi="Times New Roman" w:cs="Times New Roman"/>
          <w:i/>
          <w:szCs w:val="24"/>
          <w:lang w:eastAsia="sk-SK"/>
        </w:rPr>
        <w:t xml:space="preserve"> 50</w:t>
      </w:r>
      <w:r w:rsidR="00103DC9">
        <w:rPr>
          <w:rFonts w:ascii="Times New Roman" w:hAnsi="Times New Roman" w:cs="Times New Roman"/>
          <w:i/>
          <w:szCs w:val="24"/>
          <w:lang w:eastAsia="sk-SK"/>
        </w:rPr>
        <w:t>, k. ú. Varov Šúr, Obec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 Šúrovce.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Predajom pozemk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právne usporiadaný celok vo vlastníctve kupujúc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eho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C756C2" w:rsidRPr="00C756C2">
        <w:rPr>
          <w:rFonts w:ascii="Times New Roman" w:hAnsi="Times New Roman" w:cs="Times New Roman"/>
          <w:i/>
          <w:szCs w:val="24"/>
        </w:rPr>
        <w:t>26.10.2017 do 15.11.2017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>u väčšinou všetkých poslancov, bude predložený na zasadnutí obecného zastupiteľstva, ktoré sa bude konať 16.11.2017.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>V Šúrovciach, dňa 26.10.2017</w:t>
      </w:r>
    </w:p>
    <w:p w:rsidR="008656B6" w:rsidRDefault="008656B6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103DC9"/>
    <w:rsid w:val="002F1590"/>
    <w:rsid w:val="008656B6"/>
    <w:rsid w:val="009A662F"/>
    <w:rsid w:val="009C4F2C"/>
    <w:rsid w:val="00AD017C"/>
    <w:rsid w:val="00B039E5"/>
    <w:rsid w:val="00C756C2"/>
    <w:rsid w:val="00D76BC8"/>
    <w:rsid w:val="00E24F23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7E05DC5B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Obec  Šúrovce</cp:lastModifiedBy>
  <cp:revision>6</cp:revision>
  <dcterms:created xsi:type="dcterms:W3CDTF">2017-11-03T10:09:00Z</dcterms:created>
  <dcterms:modified xsi:type="dcterms:W3CDTF">2017-11-03T10:57:00Z</dcterms:modified>
</cp:coreProperties>
</file>